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1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附件1</w:t>
      </w:r>
    </w:p>
    <w:p w14:paraId="08B77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绍兴柯桥中国轻纺城管道燃气有限公司绿植租摆及绿化养护</w:t>
      </w:r>
    </w:p>
    <w:p w14:paraId="7721F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服务项目采购要求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46"/>
        <w:gridCol w:w="1963"/>
        <w:gridCol w:w="1705"/>
      </w:tblGrid>
      <w:tr w14:paraId="6F3E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 w14:paraId="2C7C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vAlign w:val="center"/>
          </w:tcPr>
          <w:p w14:paraId="52A5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株型</w:t>
            </w:r>
          </w:p>
        </w:tc>
        <w:tc>
          <w:tcPr>
            <w:tcW w:w="1446" w:type="dxa"/>
            <w:vAlign w:val="center"/>
          </w:tcPr>
          <w:p w14:paraId="7B3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数量（盆）</w:t>
            </w:r>
          </w:p>
        </w:tc>
        <w:tc>
          <w:tcPr>
            <w:tcW w:w="1963" w:type="dxa"/>
            <w:vAlign w:val="center"/>
          </w:tcPr>
          <w:p w14:paraId="7E4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植株规格</w:t>
            </w:r>
          </w:p>
        </w:tc>
        <w:tc>
          <w:tcPr>
            <w:tcW w:w="1705" w:type="dxa"/>
            <w:vAlign w:val="center"/>
          </w:tcPr>
          <w:p w14:paraId="2107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植株类型</w:t>
            </w:r>
          </w:p>
        </w:tc>
      </w:tr>
      <w:tr w14:paraId="4CB4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CF9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22A1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特大盆</w:t>
            </w:r>
          </w:p>
        </w:tc>
        <w:tc>
          <w:tcPr>
            <w:tcW w:w="1446" w:type="dxa"/>
            <w:vMerge w:val="restart"/>
            <w:vAlign w:val="center"/>
          </w:tcPr>
          <w:p w14:paraId="610D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vMerge w:val="restart"/>
            <w:vAlign w:val="center"/>
          </w:tcPr>
          <w:p w14:paraId="6E16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高度：200cm以上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丛径：100CM左右</w:t>
            </w:r>
          </w:p>
        </w:tc>
        <w:tc>
          <w:tcPr>
            <w:tcW w:w="1705" w:type="dxa"/>
            <w:vAlign w:val="center"/>
          </w:tcPr>
          <w:p w14:paraId="6EBA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大幸福树</w:t>
            </w:r>
          </w:p>
        </w:tc>
      </w:tr>
      <w:tr w14:paraId="6BAD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10A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vMerge w:val="continue"/>
            <w:vAlign w:val="center"/>
          </w:tcPr>
          <w:p w14:paraId="0930459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0D9E286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CF8D2B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550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散尾葵</w:t>
            </w:r>
          </w:p>
        </w:tc>
      </w:tr>
      <w:tr w14:paraId="642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7F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vMerge w:val="restart"/>
            <w:vAlign w:val="center"/>
          </w:tcPr>
          <w:p w14:paraId="323D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大盆</w:t>
            </w:r>
          </w:p>
        </w:tc>
        <w:tc>
          <w:tcPr>
            <w:tcW w:w="1446" w:type="dxa"/>
            <w:vMerge w:val="restart"/>
            <w:vAlign w:val="center"/>
          </w:tcPr>
          <w:p w14:paraId="04FA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63" w:type="dxa"/>
            <w:vMerge w:val="restart"/>
            <w:vAlign w:val="center"/>
          </w:tcPr>
          <w:p w14:paraId="1AFD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高度：100-200CM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丛径: 60-80CM</w:t>
            </w:r>
          </w:p>
        </w:tc>
        <w:tc>
          <w:tcPr>
            <w:tcW w:w="1705" w:type="dxa"/>
            <w:vAlign w:val="center"/>
          </w:tcPr>
          <w:p w14:paraId="412A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巴西铁</w:t>
            </w:r>
          </w:p>
        </w:tc>
      </w:tr>
      <w:tr w14:paraId="5FD3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AA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vMerge w:val="continue"/>
            <w:vAlign w:val="center"/>
          </w:tcPr>
          <w:p w14:paraId="5E5C260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020829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B918BB4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5A5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龙须铁</w:t>
            </w:r>
          </w:p>
        </w:tc>
      </w:tr>
      <w:tr w14:paraId="2F1B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925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vMerge w:val="continue"/>
            <w:vAlign w:val="center"/>
          </w:tcPr>
          <w:p w14:paraId="5CC3F68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68555A0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6170B30D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7E14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滴水观音</w:t>
            </w:r>
          </w:p>
        </w:tc>
      </w:tr>
      <w:tr w14:paraId="56D9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BD7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vMerge w:val="continue"/>
            <w:vAlign w:val="center"/>
          </w:tcPr>
          <w:p w14:paraId="06B89DD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52E31F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56CDCCE3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487C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</w:tr>
      <w:tr w14:paraId="222E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048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vMerge w:val="continue"/>
            <w:vAlign w:val="center"/>
          </w:tcPr>
          <w:p w14:paraId="6EDC33D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B95B76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60BAA988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0F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绿萝柱</w:t>
            </w:r>
          </w:p>
        </w:tc>
      </w:tr>
      <w:tr w14:paraId="4DB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3B3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vMerge w:val="continue"/>
            <w:vAlign w:val="center"/>
          </w:tcPr>
          <w:p w14:paraId="7E32B74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FF2FE3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60685F3A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388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富贵椰子</w:t>
            </w:r>
          </w:p>
        </w:tc>
      </w:tr>
      <w:tr w14:paraId="5BBF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79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vMerge w:val="continue"/>
            <w:vAlign w:val="center"/>
          </w:tcPr>
          <w:p w14:paraId="24E4EAE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5CBB5E0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1C58E9EE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069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鸭脚木</w:t>
            </w:r>
          </w:p>
        </w:tc>
      </w:tr>
      <w:tr w14:paraId="52F2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4E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vMerge w:val="continue"/>
            <w:vAlign w:val="center"/>
          </w:tcPr>
          <w:p w14:paraId="336C6C7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321D61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2A2E83C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05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绿宝树</w:t>
            </w:r>
          </w:p>
        </w:tc>
      </w:tr>
      <w:tr w14:paraId="19A1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72B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vMerge w:val="restart"/>
            <w:vAlign w:val="center"/>
          </w:tcPr>
          <w:p w14:paraId="15C6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中盆</w:t>
            </w:r>
          </w:p>
        </w:tc>
        <w:tc>
          <w:tcPr>
            <w:tcW w:w="1446" w:type="dxa"/>
            <w:vMerge w:val="restart"/>
            <w:vAlign w:val="center"/>
          </w:tcPr>
          <w:p w14:paraId="01DB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63" w:type="dxa"/>
            <w:vMerge w:val="restart"/>
            <w:vAlign w:val="center"/>
          </w:tcPr>
          <w:p w14:paraId="2F9A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高度：60-100CM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丛径: 40-60CM</w:t>
            </w:r>
          </w:p>
        </w:tc>
        <w:tc>
          <w:tcPr>
            <w:tcW w:w="1705" w:type="dxa"/>
            <w:vAlign w:val="center"/>
          </w:tcPr>
          <w:p w14:paraId="2DF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虎尾兰</w:t>
            </w:r>
          </w:p>
        </w:tc>
      </w:tr>
      <w:tr w14:paraId="1E69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1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vMerge w:val="continue"/>
            <w:vAlign w:val="center"/>
          </w:tcPr>
          <w:p w14:paraId="4386C89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2934708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592217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2DE5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</w:tr>
      <w:tr w14:paraId="000D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7E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vMerge w:val="continue"/>
            <w:vAlign w:val="center"/>
          </w:tcPr>
          <w:p w14:paraId="74878C5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C4E9F1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558669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2EA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</w:t>
            </w:r>
          </w:p>
        </w:tc>
      </w:tr>
      <w:tr w14:paraId="3EF5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5DE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vMerge w:val="continue"/>
            <w:vAlign w:val="center"/>
          </w:tcPr>
          <w:p w14:paraId="5E7BDB2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7E969B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69E4E27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ECB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万年青</w:t>
            </w:r>
          </w:p>
        </w:tc>
      </w:tr>
      <w:tr w14:paraId="5732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49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vMerge w:val="continue"/>
            <w:vAlign w:val="center"/>
          </w:tcPr>
          <w:p w14:paraId="6FE1BE4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66D1759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479A6D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578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</w:tr>
      <w:tr w14:paraId="2522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78F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vMerge w:val="continue"/>
            <w:vAlign w:val="center"/>
          </w:tcPr>
          <w:p w14:paraId="0C40BB0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031DDA6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4B03DFD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848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一叶兰</w:t>
            </w:r>
          </w:p>
        </w:tc>
      </w:tr>
      <w:tr w14:paraId="3BD5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CC0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dxa"/>
            <w:vMerge w:val="continue"/>
            <w:vAlign w:val="center"/>
          </w:tcPr>
          <w:p w14:paraId="0E7BC9A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2841D64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61177B5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45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龟背竹</w:t>
            </w:r>
          </w:p>
        </w:tc>
      </w:tr>
      <w:tr w14:paraId="3A48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B7A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vMerge w:val="continue"/>
            <w:vAlign w:val="center"/>
          </w:tcPr>
          <w:p w14:paraId="3188CEC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AB4FC1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09F389F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425E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橡皮树</w:t>
            </w:r>
          </w:p>
        </w:tc>
      </w:tr>
      <w:tr w14:paraId="01CA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25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vMerge w:val="continue"/>
            <w:vAlign w:val="center"/>
          </w:tcPr>
          <w:p w14:paraId="0796446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23C80E1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AE2FD8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750E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孔雀足芋</w:t>
            </w:r>
          </w:p>
        </w:tc>
      </w:tr>
      <w:tr w14:paraId="409B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B9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vMerge w:val="restart"/>
            <w:vAlign w:val="center"/>
          </w:tcPr>
          <w:p w14:paraId="3837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小盆</w:t>
            </w:r>
          </w:p>
        </w:tc>
        <w:tc>
          <w:tcPr>
            <w:tcW w:w="1446" w:type="dxa"/>
            <w:vMerge w:val="restart"/>
            <w:vAlign w:val="center"/>
          </w:tcPr>
          <w:p w14:paraId="163D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63" w:type="dxa"/>
            <w:vMerge w:val="restart"/>
            <w:vAlign w:val="center"/>
          </w:tcPr>
          <w:p w14:paraId="7222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高度：30-60CM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丛径: 20-40CM</w:t>
            </w:r>
          </w:p>
        </w:tc>
        <w:tc>
          <w:tcPr>
            <w:tcW w:w="1705" w:type="dxa"/>
            <w:vAlign w:val="center"/>
          </w:tcPr>
          <w:p w14:paraId="1C70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</w:tr>
      <w:tr w14:paraId="2B25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ED7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dxa"/>
            <w:vMerge w:val="continue"/>
            <w:vAlign w:val="center"/>
          </w:tcPr>
          <w:p w14:paraId="0817F9B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68202AC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1BA6E77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32BA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吊兰</w:t>
            </w:r>
          </w:p>
        </w:tc>
      </w:tr>
      <w:tr w14:paraId="77D0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817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dxa"/>
            <w:vMerge w:val="continue"/>
            <w:vAlign w:val="center"/>
          </w:tcPr>
          <w:p w14:paraId="081AF3F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570B90B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41BDBF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0BD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吊绿萝</w:t>
            </w:r>
          </w:p>
        </w:tc>
      </w:tr>
      <w:tr w14:paraId="7A63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3F4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dxa"/>
            <w:vMerge w:val="continue"/>
            <w:vAlign w:val="center"/>
          </w:tcPr>
          <w:p w14:paraId="4B26314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7DC33C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0C8A7CB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8A3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</w:tr>
      <w:tr w14:paraId="51AC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C6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dxa"/>
            <w:vMerge w:val="continue"/>
            <w:vAlign w:val="center"/>
          </w:tcPr>
          <w:p w14:paraId="3DF10E4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327EE55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98EA18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62E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绿元宝</w:t>
            </w:r>
          </w:p>
        </w:tc>
      </w:tr>
      <w:tr w14:paraId="11FE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18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dxa"/>
            <w:vMerge w:val="continue"/>
            <w:vAlign w:val="center"/>
          </w:tcPr>
          <w:p w14:paraId="1A22ABD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0B43F6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745E6FF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C7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袖珍椰子</w:t>
            </w:r>
          </w:p>
        </w:tc>
      </w:tr>
      <w:tr w14:paraId="34C2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34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4" w:type="dxa"/>
            <w:vMerge w:val="continue"/>
            <w:vAlign w:val="center"/>
          </w:tcPr>
          <w:p w14:paraId="1888898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4104A7E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5EB8D4F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663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花叶万年青</w:t>
            </w:r>
          </w:p>
        </w:tc>
      </w:tr>
      <w:tr w14:paraId="7FDA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0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4" w:type="dxa"/>
            <w:vMerge w:val="continue"/>
            <w:vAlign w:val="center"/>
          </w:tcPr>
          <w:p w14:paraId="33C0C6A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1FBD61E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9F2937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734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</w:t>
            </w:r>
          </w:p>
        </w:tc>
      </w:tr>
      <w:tr w14:paraId="0F24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6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4" w:type="dxa"/>
            <w:vMerge w:val="continue"/>
            <w:vAlign w:val="center"/>
          </w:tcPr>
          <w:p w14:paraId="71B6613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  <w:vMerge w:val="continue"/>
            <w:vAlign w:val="center"/>
          </w:tcPr>
          <w:p w14:paraId="7F521A3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3F1397F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4509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</w:t>
            </w:r>
          </w:p>
        </w:tc>
      </w:tr>
      <w:tr w14:paraId="75C0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4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18" w:type="dxa"/>
            <w:gridSpan w:val="4"/>
            <w:vAlign w:val="center"/>
          </w:tcPr>
          <w:p w14:paraId="4885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绿化养护面积：燃气大楼场外绿化养护面积700㎡</w:t>
            </w:r>
          </w:p>
        </w:tc>
      </w:tr>
    </w:tbl>
    <w:p w14:paraId="4D47F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  <w:t>一、花卉租摆要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  <w:t>求</w:t>
      </w:r>
    </w:p>
    <w:p w14:paraId="2CEBF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1、办公室室内以观叶盆栽植物为主，观花盆栽为辅。盆栽花卉无虫无害无异味。供应商自带的花盆须为陶瓷盆/优质仿陶瓷盆（带托盘），严禁使用简易塑料盆，盆径大小须与植株规格相匹配。室内布置大方、简洁，按时按类按期集中布置，同时配个性化要求布置。</w:t>
      </w:r>
    </w:p>
    <w:p w14:paraId="74FDE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2、花卉须杆直枝茂密花鲜，保证四季有绿。本询价按株型报综合单价，供应商须承诺：该单价适用于清单中该株型下列出的所有品种，采购方有权根据现场实际需要指定任意品种，供应商不得以品种不同为由要求加价或拒绝供货。</w:t>
      </w:r>
    </w:p>
    <w:p w14:paraId="27C60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3、根据植物生长状态及采购方要求不定期更换，若出现黄叶超过总叶量10%、枯萎、落叶、死苗等情况，供应商需在接到通知后24小时内免费更换同规格、同品种健康植物。</w:t>
      </w:r>
    </w:p>
    <w:p w14:paraId="4E838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4、室内绿植租摆单价已包含该盆栽的日常养护、更换等所有费用。</w:t>
      </w:r>
    </w:p>
    <w:p w14:paraId="26CB4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  <w:t>二、绿化养护要求</w:t>
      </w:r>
    </w:p>
    <w:p w14:paraId="12C92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1、在承包养护期限内，树木修剪需做到树冠完整无枯枝；方块绿篱修剪要求线条笔直，平面与垂直面直线度误差不超过2厘米。花木修剪、造型每季至少修剪一次，生长旺季应根据长势适当增加频次。</w:t>
      </w:r>
    </w:p>
    <w:p w14:paraId="290EB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2、修剪产生的枝叶垃圾需当日施工结束后清理出场，不得过夜。如发现病虫害需在24小时内采取无害化防治措施；化肥农药皆由承包方自行购买，使用农药需符合国家无公害标准，施肥频次不少于每半年1次。该部分费用已包含在养护单价内。</w:t>
      </w:r>
    </w:p>
    <w:p w14:paraId="7982F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</w:rPr>
        <w:t>三、其他约定</w:t>
      </w:r>
    </w:p>
    <w:p w14:paraId="05189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1、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人要求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符合《中华人民共和国政府采购法》第二十二条之规定，在中华人民共和国境内注册；</w:t>
      </w:r>
    </w:p>
    <w:p w14:paraId="7FC21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营业执照范围内具有生产或经营本项目产品的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或销售能力的供应商；证明材料：参与报价的人须提供营业执照复印件、公开询价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函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（格式详见附件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）、以上资料需加盖公章，并在多页上加盖骑缝公章，所提供的资料必须真实有效，若发现弄虚作假则取消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资格；未上传以上资料，响应无效。</w:t>
      </w:r>
    </w:p>
    <w:p w14:paraId="7C286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本项目服务期为1年。</w:t>
      </w:r>
    </w:p>
    <w:p w14:paraId="78E6A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</w:p>
    <w:sectPr>
      <w:pgSz w:w="11906" w:h="16838"/>
      <w:pgMar w:top="2098" w:right="1472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C4902"/>
    <w:rsid w:val="198D2276"/>
    <w:rsid w:val="3CBA3D0C"/>
    <w:rsid w:val="41D825BF"/>
    <w:rsid w:val="6324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1036</Characters>
  <Lines>0</Lines>
  <Paragraphs>0</Paragraphs>
  <TotalTime>17</TotalTime>
  <ScaleCrop>false</ScaleCrop>
  <LinksUpToDate>false</LinksUpToDate>
  <CharactersWithSpaces>1039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2025-12-11T00:03:00Z</dcterms:created>
  <dc:creator>KQRQ</dc:creator>
  <cp:lastModifiedBy>张旭锋</cp:lastModifiedBy>
  <dcterms:modified xsi:type="dcterms:W3CDTF">2026-05-27T01:29:39Z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1387159CE4E948FF850E76C884EAF984_12</vt:lpwstr>
  </property>
  <property fmtid="{D5CDD505-2E9C-101B-9397-08002B2CF9AE}" pid="4" name="KSOTemplateDocerSaveRecord">
    <vt:lpwstr>eyJoZGlkIjoiOTNmZDg0ZGEzNWFlNDFhNmE2NDUwNzdhMDdiOWYyNzkiLCJ1c2VySWQiOiIxNTY5MTEwMjA4In0=</vt:lpwstr>
  </property>
</Properties>
</file>